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0822FDA2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07031F" w:rsidR="00354571" w:rsidTr="0822FDA2" w14:paraId="54D1E881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3F73D3" w:rsidP="0822FDA2" w:rsidRDefault="0007031F" w14:paraId="201D11E5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0822FDA2" w:rsidR="0007031F">
              <w:rPr>
                <w:rFonts w:cs="Arial"/>
                <w:b w:val="1"/>
                <w:bCs w:val="1"/>
                <w:color w:val="333333"/>
              </w:rPr>
              <w:t xml:space="preserve">Gepolsterte </w:t>
            </w:r>
            <w:r w:rsidRPr="0822FDA2" w:rsidR="00FA0FD1">
              <w:rPr>
                <w:rFonts w:cs="Arial"/>
                <w:b w:val="1"/>
                <w:bCs w:val="1"/>
                <w:color w:val="333333"/>
              </w:rPr>
              <w:t>Sc</w:t>
            </w:r>
            <w:r w:rsidRPr="0822FDA2" w:rsidR="00FA0FD1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hutzhülle</w:t>
            </w:r>
            <w:r w:rsidRPr="0822FDA2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aus wetterfestem, robustem Nylon-/</w:t>
            </w:r>
            <w:proofErr w:type="spellStart"/>
            <w:r w:rsidRPr="0822FDA2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Cordura</w:t>
            </w:r>
            <w:proofErr w:type="spellEnd"/>
            <w:r w:rsidRPr="0822FDA2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0822FDA2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f</w:t>
            </w:r>
            <w:r w:rsidRPr="0822FDA2" w:rsidR="0007031F">
              <w:rPr>
                <w:rFonts w:cs="Arial"/>
                <w:b w:val="1"/>
                <w:bCs w:val="1"/>
                <w:color w:val="333333"/>
              </w:rPr>
              <w:t xml:space="preserve">ür QSC </w:t>
            </w:r>
            <w:r w:rsidRPr="0822FDA2" w:rsidR="00FA0FD1">
              <w:rPr>
                <w:rFonts w:cs="Arial"/>
                <w:b w:val="1"/>
                <w:bCs w:val="1"/>
                <w:color w:val="333333"/>
              </w:rPr>
              <w:t>KS112</w:t>
            </w:r>
            <w:r w:rsidRPr="0822FDA2" w:rsidR="0007031F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</w:p>
          <w:p w:rsidR="0007031F" w:rsidP="00516D73" w:rsidRDefault="0007031F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3F73D3" w:rsidP="00516D73" w:rsidRDefault="00FA0FD1" w14:paraId="0CEB00C0" wp14:textId="4EF1E56D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0822FDA2" w:rsidR="00FA0FD1">
              <w:rPr>
                <w:rStyle w:val="tlid-translation"/>
              </w:rPr>
              <w:t>Schutzhülle</w:t>
            </w:r>
            <w:r w:rsidRPr="0822FDA2" w:rsidR="0007031F">
              <w:rPr>
                <w:rStyle w:val="tlid-translation"/>
              </w:rPr>
              <w:t xml:space="preserve"> mit seitlicher Tasche für Zubehör </w:t>
            </w:r>
            <w:r w:rsidRPr="0822FDA2" w:rsidR="005E3E95">
              <w:rPr>
                <w:rStyle w:val="tlid-translation"/>
              </w:rPr>
              <w:t>und</w:t>
            </w:r>
            <w:r w:rsidRPr="0822FDA2" w:rsidR="0007031F">
              <w:rPr>
                <w:rStyle w:val="tlid-translation"/>
              </w:rPr>
              <w:t xml:space="preserve"> Netzkabel</w:t>
            </w:r>
            <w:r w:rsidRPr="0822FDA2" w:rsidR="00FA0FD1">
              <w:rPr>
                <w:rStyle w:val="tlid-translation"/>
              </w:rPr>
              <w:t xml:space="preserve"> sowie seitliche</w:t>
            </w:r>
            <w:r w:rsidRPr="0822FDA2" w:rsidR="00854DA4">
              <w:rPr>
                <w:rStyle w:val="tlid-translation"/>
              </w:rPr>
              <w:t>n</w:t>
            </w:r>
            <w:r w:rsidRPr="0822FDA2" w:rsidR="00FA0FD1">
              <w:rPr>
                <w:rStyle w:val="tlid-translation"/>
              </w:rPr>
              <w:t xml:space="preserve"> Aussparungen an den Griffen, für Rollmontage geeignet, Klettverschluss</w:t>
            </w:r>
            <w:r w:rsidRPr="0822FDA2" w:rsidR="00A223ED">
              <w:rPr>
                <w:rStyle w:val="tlid-translation"/>
              </w:rPr>
              <w:t xml:space="preserve"> unten</w:t>
            </w:r>
            <w:r w:rsidRPr="0822FDA2" w:rsidR="00FA0FD1">
              <w:rPr>
                <w:rStyle w:val="tlid-translation"/>
              </w:rPr>
              <w:t xml:space="preserve"> für festen Halt der Schutzhülle auf dem Lautsprecher</w:t>
            </w:r>
            <w:r w:rsidRPr="0822FDA2" w:rsidR="00A223ED">
              <w:rPr>
                <w:rStyle w:val="tlid-translation"/>
              </w:rPr>
              <w:t>, Klettverschluss oben zum sicheren Transport kleiner Lautsprecher</w:t>
            </w:r>
            <w:r w:rsidRPr="0822FDA2" w:rsidR="0FB6CCEE">
              <w:rPr>
                <w:rStyle w:val="tlid-translation"/>
              </w:rPr>
              <w:t>.</w:t>
            </w:r>
          </w:p>
          <w:p w:rsidR="00516D73" w:rsidP="00516D73" w:rsidRDefault="003F73D3" w14:paraId="15D5CB0B" wp14:textId="18BB10F3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0822FDA2" w:rsidR="003F73D3">
              <w:rPr>
                <w:rStyle w:val="tlid-translation"/>
              </w:rPr>
              <w:t>Passend für QSC</w:t>
            </w:r>
            <w:r w:rsidRPr="0822FDA2" w:rsidR="003F73D3">
              <w:rPr>
                <w:rStyle w:val="tlid-translation"/>
              </w:rPr>
              <w:t xml:space="preserve"> </w:t>
            </w:r>
            <w:r w:rsidRPr="0822FDA2" w:rsidR="00FA0FD1">
              <w:rPr>
                <w:rStyle w:val="tlid-translation"/>
              </w:rPr>
              <w:t>KS112</w:t>
            </w:r>
            <w:r w:rsidRPr="0822FDA2" w:rsidR="003F73D3">
              <w:rPr>
                <w:rStyle w:val="tlid-translation"/>
              </w:rPr>
              <w:t xml:space="preserve"> Lautsprecher.</w:t>
            </w:r>
          </w:p>
          <w:p w:rsidR="00125E7F" w:rsidP="00516D73" w:rsidRDefault="00125E7F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6F8A11B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FA0FD1">
              <w:rPr>
                <w:rFonts w:cs="Arial"/>
                <w:szCs w:val="20"/>
              </w:rPr>
              <w:t>KS112-CVR</w:t>
            </w:r>
          </w:p>
          <w:p w:rsidR="00F205DB" w:rsidP="00F205DB" w:rsidRDefault="00F205DB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07031F" w:rsidP="00F205DB" w:rsidRDefault="0007031F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07031F" w:rsidP="0822FDA2" w:rsidRDefault="0007031F" w14:paraId="44EAFD9C" wp14:textId="4134314F">
            <w:pPr>
              <w:rPr>
                <w:rFonts w:cs="Arial"/>
              </w:rPr>
            </w:pPr>
            <w:r w:rsidRPr="0822FDA2" w:rsidR="00F205DB">
              <w:rPr>
                <w:rFonts w:cs="Arial"/>
              </w:rPr>
              <w:t>_____________________________________________</w:t>
            </w:r>
          </w:p>
          <w:p w:rsidR="0822FDA2" w:rsidP="0822FDA2" w:rsidRDefault="0822FDA2" w14:paraId="13FD733B" w14:textId="493FD936">
            <w:pPr>
              <w:pStyle w:val="Standard"/>
              <w:rPr>
                <w:rFonts w:cs="Arial"/>
              </w:rPr>
            </w:pPr>
          </w:p>
          <w:p w:rsidR="00045F98" w:rsidP="0822FDA2" w:rsidRDefault="00045F98" w14:paraId="37671646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0822FDA2" w:rsidR="00045F98">
              <w:rPr>
                <w:rFonts w:cs="Arial"/>
                <w:b w:val="1"/>
                <w:bCs w:val="1"/>
                <w:color w:val="333333"/>
              </w:rPr>
              <w:t xml:space="preserve">Gepolsterte </w:t>
            </w:r>
            <w:r w:rsidRPr="0822FDA2" w:rsidR="00045F98">
              <w:rPr>
                <w:rFonts w:cs="Arial"/>
                <w:b w:val="1"/>
                <w:bCs w:val="1"/>
                <w:color w:val="333333"/>
              </w:rPr>
              <w:t>Schutzhülle</w:t>
            </w:r>
            <w:r w:rsidRPr="0822FDA2" w:rsidR="00045F98">
              <w:rPr>
                <w:rFonts w:cs="Arial"/>
                <w:b w:val="1"/>
                <w:bCs w:val="1"/>
                <w:color w:val="333333"/>
              </w:rPr>
              <w:t xml:space="preserve"> aus wetterfestem, robustem Nylon-/</w:t>
            </w:r>
            <w:proofErr w:type="spellStart"/>
            <w:r w:rsidRPr="0822FDA2" w:rsidR="00045F98">
              <w:rPr>
                <w:rFonts w:cs="Arial"/>
                <w:b w:val="1"/>
                <w:bCs w:val="1"/>
                <w:color w:val="333333"/>
              </w:rPr>
              <w:t>Cordur</w:t>
            </w:r>
            <w:r w:rsidRPr="0822FDA2" w:rsidR="00045F98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a</w:t>
            </w:r>
            <w:proofErr w:type="spellEnd"/>
            <w:r w:rsidRPr="0822FDA2" w:rsidR="00045F98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0822FDA2" w:rsidR="00045F98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f</w:t>
            </w:r>
            <w:r w:rsidRPr="0822FDA2" w:rsidR="00045F98">
              <w:rPr>
                <w:rFonts w:cs="Arial"/>
                <w:b w:val="1"/>
                <w:bCs w:val="1"/>
                <w:color w:val="333333"/>
              </w:rPr>
              <w:t>ür QSC KS118 Lautsprecher</w:t>
            </w:r>
          </w:p>
          <w:p w:rsidR="00045F98" w:rsidP="00045F98" w:rsidRDefault="00045F98" w14:paraId="4B94D5A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045F98" w:rsidP="00045F98" w:rsidRDefault="00045F98" w14:paraId="3698E579" wp14:textId="0509A65F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0822FDA2" w:rsidR="00045F98">
              <w:rPr>
                <w:rStyle w:val="tlid-translation"/>
              </w:rPr>
              <w:t xml:space="preserve">Schutzhülle mit seitlicher Tasche für Zubehör und Netzkabel sowie seitlichen Aussparungen an den Griffen, für Rollmontage geeignet, Klettverschluss </w:t>
            </w:r>
            <w:r w:rsidRPr="0822FDA2" w:rsidR="00A223ED">
              <w:rPr>
                <w:rStyle w:val="tlid-translation"/>
              </w:rPr>
              <w:t xml:space="preserve">unten </w:t>
            </w:r>
            <w:r w:rsidRPr="0822FDA2" w:rsidR="00045F98">
              <w:rPr>
                <w:rStyle w:val="tlid-translation"/>
              </w:rPr>
              <w:t>für festen Halt der Schutzhülle auf dem Lautsprecher</w:t>
            </w:r>
            <w:r w:rsidRPr="0822FDA2" w:rsidR="00A223ED">
              <w:rPr>
                <w:rStyle w:val="tlid-translation"/>
              </w:rPr>
              <w:t>, Klettverschluss oben zum sicheren Transport kleiner Lautsprecher</w:t>
            </w:r>
            <w:r w:rsidRPr="0822FDA2" w:rsidR="54E00CC9">
              <w:rPr>
                <w:rStyle w:val="tlid-translation"/>
              </w:rPr>
              <w:t>.</w:t>
            </w:r>
          </w:p>
          <w:p w:rsidR="00045F98" w:rsidP="00045F98" w:rsidRDefault="00045F98" w14:paraId="1D4A4D21" wp14:textId="2228F76D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0822FDA2" w:rsidR="00045F98">
              <w:rPr>
                <w:rStyle w:val="tlid-translation"/>
              </w:rPr>
              <w:t>Passend für QSC</w:t>
            </w:r>
            <w:r w:rsidRPr="0822FDA2" w:rsidR="00045F98">
              <w:rPr>
                <w:rStyle w:val="tlid-translation"/>
              </w:rPr>
              <w:t xml:space="preserve"> </w:t>
            </w:r>
            <w:r w:rsidRPr="0822FDA2" w:rsidR="00045F98">
              <w:rPr>
                <w:rStyle w:val="tlid-translation"/>
              </w:rPr>
              <w:t>KS118 Lautsprecher.</w:t>
            </w:r>
          </w:p>
          <w:p w:rsidR="00045F98" w:rsidP="00045F98" w:rsidRDefault="00045F98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045F98" w:rsidP="00045F98" w:rsidRDefault="00045F98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045F98" w:rsidP="00045F98" w:rsidRDefault="00045F98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045F98" w:rsidP="00045F98" w:rsidRDefault="00045F98" w14:paraId="779CD35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KS118-CVR</w:t>
            </w:r>
          </w:p>
          <w:p w:rsidRPr="0007031F" w:rsidR="00F94205" w:rsidP="00F94205" w:rsidRDefault="00F94205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07031F" w:rsidR="0007031F" w:rsidP="00F94205" w:rsidRDefault="0007031F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94205" w:rsidP="0822FDA2" w:rsidRDefault="00F94205" w14:paraId="5D39355D" wp14:textId="0920BCB5">
            <w:pPr>
              <w:tabs>
                <w:tab w:val="right" w:pos="5294"/>
              </w:tabs>
              <w:rPr>
                <w:rFonts w:cs="Arial"/>
              </w:rPr>
            </w:pPr>
            <w:r w:rsidRPr="0822FDA2" w:rsidR="00F94205">
              <w:rPr>
                <w:rFonts w:cs="Arial"/>
              </w:rPr>
              <w:t>____________________________________________</w:t>
            </w:r>
          </w:p>
          <w:p w:rsidR="00F94205" w:rsidP="00F94205" w:rsidRDefault="00F94205" w14:paraId="53128261" wp14:textId="77777777">
            <w:pPr>
              <w:rPr>
                <w:rFonts w:cs="Arial"/>
                <w:szCs w:val="20"/>
              </w:rPr>
            </w:pPr>
          </w:p>
          <w:p w:rsidRPr="00BC348F" w:rsidR="0007031F" w:rsidP="00F94205" w:rsidRDefault="0007031F" w14:paraId="62486C05" wp14:textId="77777777">
            <w:pPr>
              <w:rPr>
                <w:rFonts w:cs="Arial"/>
                <w:szCs w:val="20"/>
              </w:rPr>
            </w:pPr>
          </w:p>
          <w:p w:rsidR="00045F98" w:rsidP="0822FDA2" w:rsidRDefault="00045F98" w14:paraId="11D4EC32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0822FDA2" w:rsidR="00045F98">
              <w:rPr>
                <w:rFonts w:cs="Arial"/>
                <w:b w:val="1"/>
                <w:bCs w:val="1"/>
                <w:color w:val="333333"/>
              </w:rPr>
              <w:t xml:space="preserve">Gepolsterte </w:t>
            </w:r>
            <w:r w:rsidRPr="0822FDA2" w:rsidR="00045F98">
              <w:rPr>
                <w:rFonts w:cs="Arial"/>
                <w:b w:val="1"/>
                <w:bCs w:val="1"/>
                <w:color w:val="333333"/>
              </w:rPr>
              <w:t>Schutzhülle</w:t>
            </w:r>
            <w:r w:rsidRPr="0822FDA2" w:rsidR="00045F98">
              <w:rPr>
                <w:rFonts w:cs="Arial"/>
                <w:b w:val="1"/>
                <w:bCs w:val="1"/>
                <w:color w:val="333333"/>
              </w:rPr>
              <w:t xml:space="preserve"> aus wetterfestem, robustem Nylon-/</w:t>
            </w:r>
            <w:proofErr w:type="spellStart"/>
            <w:r w:rsidRPr="0822FDA2" w:rsidR="00045F98">
              <w:rPr>
                <w:rFonts w:cs="Arial"/>
                <w:b w:val="1"/>
                <w:bCs w:val="1"/>
                <w:color w:val="333333"/>
              </w:rPr>
              <w:t>Cordur</w:t>
            </w:r>
            <w:r w:rsidRPr="0822FDA2" w:rsidR="00045F98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a</w:t>
            </w:r>
            <w:proofErr w:type="spellEnd"/>
            <w:r w:rsidRPr="0822FDA2" w:rsidR="00045F98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0822FDA2" w:rsidR="00045F98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f</w:t>
            </w:r>
            <w:r w:rsidRPr="0822FDA2" w:rsidR="00045F98">
              <w:rPr>
                <w:rFonts w:cs="Arial"/>
                <w:b w:val="1"/>
                <w:bCs w:val="1"/>
                <w:color w:val="333333"/>
              </w:rPr>
              <w:t>ür QSC KS</w:t>
            </w:r>
            <w:r w:rsidRPr="0822FDA2" w:rsidR="00A223ED">
              <w:rPr>
                <w:rFonts w:cs="Arial"/>
                <w:b w:val="1"/>
                <w:bCs w:val="1"/>
                <w:color w:val="333333"/>
              </w:rPr>
              <w:t>212C</w:t>
            </w:r>
            <w:r w:rsidRPr="0822FDA2" w:rsidR="00045F98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</w:p>
          <w:p w:rsidR="00045F98" w:rsidP="00045F98" w:rsidRDefault="00045F98" w14:paraId="4101652C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A223ED" w:rsidP="00A223ED" w:rsidRDefault="00045F98" w14:paraId="7CA560BA" wp14:textId="72B277B0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0822FDA2" w:rsidR="00045F98">
              <w:rPr>
                <w:rStyle w:val="tlid-translation"/>
              </w:rPr>
              <w:t xml:space="preserve">Schutzhülle mit seitlicher Tasche für Zubehör und Netzkabel sowie seitlichen Aussparungen an den Griffen, für Rollmontage geeignet, Klettverschluss </w:t>
            </w:r>
            <w:r w:rsidRPr="0822FDA2" w:rsidR="00A223ED">
              <w:rPr>
                <w:rStyle w:val="tlid-translation"/>
              </w:rPr>
              <w:t xml:space="preserve">unten </w:t>
            </w:r>
            <w:r w:rsidRPr="0822FDA2" w:rsidR="00045F98">
              <w:rPr>
                <w:rStyle w:val="tlid-translation"/>
              </w:rPr>
              <w:t>für festen Halt der Schutzhülle auf dem Lautsprecher</w:t>
            </w:r>
            <w:r w:rsidRPr="0822FDA2" w:rsidR="00A223ED">
              <w:rPr>
                <w:rStyle w:val="tlid-translation"/>
              </w:rPr>
              <w:t>, Klettverschluss oben zum sicheren Transport kleiner Lautsprecher</w:t>
            </w:r>
            <w:r w:rsidRPr="0822FDA2" w:rsidR="150E7AD7">
              <w:rPr>
                <w:rStyle w:val="tlid-translation"/>
              </w:rPr>
              <w:t>.</w:t>
            </w:r>
          </w:p>
          <w:p w:rsidR="00045F98" w:rsidP="00045F98" w:rsidRDefault="00045F98" w14:paraId="4B99056E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045F98" w:rsidP="00045F98" w:rsidRDefault="00045F98" w14:paraId="167EF423" wp14:textId="2B3ADA6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0822FDA2" w:rsidR="00045F98">
              <w:rPr>
                <w:rStyle w:val="tlid-translation"/>
              </w:rPr>
              <w:t>Passend für QSC</w:t>
            </w:r>
            <w:r w:rsidRPr="0822FDA2" w:rsidR="00045F98">
              <w:rPr>
                <w:rStyle w:val="tlid-translation"/>
              </w:rPr>
              <w:t xml:space="preserve"> </w:t>
            </w:r>
            <w:r w:rsidRPr="0822FDA2" w:rsidR="00045F98">
              <w:rPr>
                <w:rStyle w:val="tlid-translation"/>
              </w:rPr>
              <w:t>KS</w:t>
            </w:r>
            <w:r w:rsidRPr="0822FDA2" w:rsidR="00A223ED">
              <w:rPr>
                <w:rStyle w:val="tlid-translation"/>
              </w:rPr>
              <w:t>212C</w:t>
            </w:r>
            <w:r w:rsidRPr="0822FDA2" w:rsidR="00045F98">
              <w:rPr>
                <w:rStyle w:val="tlid-translation"/>
              </w:rPr>
              <w:t xml:space="preserve"> Lautsprecher.</w:t>
            </w:r>
          </w:p>
          <w:p w:rsidR="00045F98" w:rsidP="00045F98" w:rsidRDefault="00045F98" w14:paraId="1299C43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045F98" w:rsidP="00045F98" w:rsidRDefault="00045F98" w14:paraId="4DDBEF00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045F98" w:rsidP="00045F98" w:rsidRDefault="00045F98" w14:paraId="24BBAFF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045F98" w:rsidP="00045F98" w:rsidRDefault="00045F98" w14:paraId="2FF582C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KS212C-CVR</w:t>
            </w:r>
          </w:p>
          <w:p w:rsidRPr="0007031F" w:rsidR="00563D12" w:rsidP="008F6E36" w:rsidRDefault="00563D12" w14:paraId="3461D77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07031F" w:rsidR="00354571" w:rsidRDefault="00354571" w14:paraId="3CF2D8B6" wp14:textId="77777777"/>
        </w:tc>
        <w:tc>
          <w:tcPr>
            <w:tcW w:w="1318" w:type="dxa"/>
            <w:tcMar/>
          </w:tcPr>
          <w:p w:rsidRPr="0007031F" w:rsidR="00354571" w:rsidRDefault="00354571" w14:paraId="0FB78278" wp14:textId="77777777"/>
        </w:tc>
      </w:tr>
    </w:tbl>
    <w:p xmlns:wp14="http://schemas.microsoft.com/office/word/2010/wordml" w:rsidRPr="0007031F" w:rsidR="00354571" w:rsidP="00F94205" w:rsidRDefault="00354571" w14:paraId="1FC39945" wp14:textId="77777777"/>
    <w:sectPr w:rsidRPr="0007031F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F574D" w:rsidP="00D0460F" w:rsidRDefault="009F574D" w14:paraId="6B699379" wp14:textId="77777777">
      <w:r>
        <w:separator/>
      </w:r>
    </w:p>
  </w:endnote>
  <w:endnote w:type="continuationSeparator" w:id="0">
    <w:p xmlns:wp14="http://schemas.microsoft.com/office/word/2010/wordml" w:rsidR="009F574D" w:rsidP="00D0460F" w:rsidRDefault="009F574D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0460F" w:rsidRDefault="00D0460F" w14:paraId="6D98A12B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0460F" w:rsidP="00D0460F" w:rsidRDefault="00D0460F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D0460F" w:rsidRDefault="00D0460F" w14:paraId="62EBF3C5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0460F" w:rsidRDefault="00D0460F" w14:paraId="5997CC1D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F574D" w:rsidP="00D0460F" w:rsidRDefault="009F574D" w14:paraId="0562CB0E" wp14:textId="77777777">
      <w:r>
        <w:separator/>
      </w:r>
    </w:p>
  </w:footnote>
  <w:footnote w:type="continuationSeparator" w:id="0">
    <w:p xmlns:wp14="http://schemas.microsoft.com/office/word/2010/wordml" w:rsidR="009F574D" w:rsidP="00D0460F" w:rsidRDefault="009F574D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0460F" w:rsidRDefault="00D0460F" w14:paraId="110FFD37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0460F" w:rsidRDefault="00D0460F" w14:paraId="2946DB82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0460F" w:rsidRDefault="00D0460F" w14:paraId="1F72F646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45F98"/>
    <w:rsid w:val="000570B6"/>
    <w:rsid w:val="000602C6"/>
    <w:rsid w:val="00070278"/>
    <w:rsid w:val="0007031F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91B76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3F73D3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0AA4"/>
    <w:rsid w:val="004E46EE"/>
    <w:rsid w:val="004F3062"/>
    <w:rsid w:val="00516C04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5E3E95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54DA4"/>
    <w:rsid w:val="0086219C"/>
    <w:rsid w:val="008E27B8"/>
    <w:rsid w:val="008F2D71"/>
    <w:rsid w:val="008F636A"/>
    <w:rsid w:val="008F6E36"/>
    <w:rsid w:val="00912AF5"/>
    <w:rsid w:val="009147C0"/>
    <w:rsid w:val="00925026"/>
    <w:rsid w:val="009347D7"/>
    <w:rsid w:val="00950649"/>
    <w:rsid w:val="009717B5"/>
    <w:rsid w:val="0097766C"/>
    <w:rsid w:val="009D1D99"/>
    <w:rsid w:val="009F50B0"/>
    <w:rsid w:val="009F574D"/>
    <w:rsid w:val="00A223ED"/>
    <w:rsid w:val="00A43348"/>
    <w:rsid w:val="00A64A4C"/>
    <w:rsid w:val="00A66002"/>
    <w:rsid w:val="00A748A6"/>
    <w:rsid w:val="00A87129"/>
    <w:rsid w:val="00AC4E76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460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4205"/>
    <w:rsid w:val="00F97015"/>
    <w:rsid w:val="00FA0FD1"/>
    <w:rsid w:val="00FA3382"/>
    <w:rsid w:val="00FF3ADD"/>
    <w:rsid w:val="00FF4186"/>
    <w:rsid w:val="0822FDA2"/>
    <w:rsid w:val="0FB6CCEE"/>
    <w:rsid w:val="150E7AD7"/>
    <w:rsid w:val="54E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2D3CEE-4C80-4E4C-8E89-578E11E7304E}"/>
  <w14:docId w14:val="46C6294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D0460F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D0460F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D0460F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D0460F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Library/productResources/spk/KS</RMSPATH>
    <IconOverlay xmlns="http://schemas.microsoft.com/sharepoint/v4" xsi:nil="true"/>
    <Long_x0020_Title xmlns="b5b92a68-70fa-4cdf-bb3a-b7b4ce44b88d">Architectural and Engineering Specifications  - Cover for KS112 _ KS118 _ KS212C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1001</Value>
      <Value>907</Value>
      <Value>908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K.2 LOC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Cover for KS112 _ KS118 _ KS212C,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Q_spk_ks_112_118_212c_cvr_archEngSpecs_de.docx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99FD706F-5A8C-4FD1-9AAD-AE5208805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06897-9C38-43F3-A601-AF664FF1C590}"/>
</file>

<file path=customXml/itemProps3.xml><?xml version="1.0" encoding="utf-8"?>
<ds:datastoreItem xmlns:ds="http://schemas.openxmlformats.org/officeDocument/2006/customXml" ds:itemID="{8B437E6D-3591-4A73-A3FE-D8E42B81F627}"/>
</file>

<file path=customXml/itemProps4.xml><?xml version="1.0" encoding="utf-8"?>
<ds:datastoreItem xmlns:ds="http://schemas.openxmlformats.org/officeDocument/2006/customXml" ds:itemID="{3398C794-E3E6-4EBE-98FE-E3D1AAF6A684}"/>
</file>

<file path=customXml/itemProps5.xml><?xml version="1.0" encoding="utf-8"?>
<ds:datastoreItem xmlns:ds="http://schemas.openxmlformats.org/officeDocument/2006/customXml" ds:itemID="{6804A853-FEF3-4063-BBC7-245DAF4BB3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Q_spk_ks_112_118_212c_cvr_archEngSpecs_de.docx</dc:title>
  <dc:subject/>
  <dc:creator>Clemens Sturm</dc:creator>
  <dc:description/>
  <cp:lastModifiedBy>Vanessa Genesius</cp:lastModifiedBy>
  <cp:revision>75</cp:revision>
  <dcterms:created xsi:type="dcterms:W3CDTF">2020-11-03T11:05:00Z</dcterms:created>
  <dcterms:modified xsi:type="dcterms:W3CDTF">2020-11-03T11:06:34Z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